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93" w:rsidRDefault="00AB12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1293" w:rsidRDefault="00AB1293">
      <w:pPr>
        <w:pStyle w:val="ConsPlusNormal"/>
        <w:jc w:val="both"/>
        <w:outlineLvl w:val="0"/>
      </w:pPr>
    </w:p>
    <w:p w:rsidR="00AB1293" w:rsidRDefault="00AB1293">
      <w:pPr>
        <w:pStyle w:val="ConsPlusNormal"/>
        <w:outlineLvl w:val="0"/>
      </w:pPr>
      <w:r>
        <w:t>Зарегистрировано в Минюсте России 16 октября 2012 г. N 25678</w:t>
      </w:r>
    </w:p>
    <w:p w:rsidR="00AB1293" w:rsidRDefault="00AB1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293" w:rsidRDefault="00AB1293">
      <w:pPr>
        <w:pStyle w:val="ConsPlusNormal"/>
      </w:pPr>
    </w:p>
    <w:p w:rsidR="00AB1293" w:rsidRDefault="00AB1293">
      <w:pPr>
        <w:pStyle w:val="ConsPlusTitle"/>
        <w:jc w:val="center"/>
      </w:pPr>
      <w:r>
        <w:t>ФЕДЕРАЛЬНАЯ СЛУЖБА ПО ТАРИФАМ</w:t>
      </w:r>
    </w:p>
    <w:p w:rsidR="00AB1293" w:rsidRDefault="00AB1293">
      <w:pPr>
        <w:pStyle w:val="ConsPlusTitle"/>
        <w:jc w:val="center"/>
      </w:pPr>
    </w:p>
    <w:p w:rsidR="00AB1293" w:rsidRDefault="00AB1293">
      <w:pPr>
        <w:pStyle w:val="ConsPlusTitle"/>
        <w:jc w:val="center"/>
      </w:pPr>
      <w:r>
        <w:t>ПРИКАЗ</w:t>
      </w:r>
    </w:p>
    <w:p w:rsidR="00AB1293" w:rsidRDefault="00AB1293">
      <w:pPr>
        <w:pStyle w:val="ConsPlusTitle"/>
        <w:jc w:val="center"/>
      </w:pPr>
      <w:r>
        <w:t>от 27 сентября 2012 г. N 643-э</w:t>
      </w:r>
    </w:p>
    <w:p w:rsidR="00AB1293" w:rsidRDefault="00AB1293">
      <w:pPr>
        <w:pStyle w:val="ConsPlusTitle"/>
        <w:jc w:val="center"/>
      </w:pPr>
    </w:p>
    <w:p w:rsidR="00AB1293" w:rsidRDefault="00AB1293">
      <w:pPr>
        <w:pStyle w:val="ConsPlusTitle"/>
        <w:jc w:val="center"/>
      </w:pPr>
      <w:r>
        <w:t>ОБ ИНТЕРВАЛАХ</w:t>
      </w:r>
    </w:p>
    <w:p w:rsidR="00AB1293" w:rsidRDefault="00AB1293">
      <w:pPr>
        <w:pStyle w:val="ConsPlusTitle"/>
        <w:jc w:val="center"/>
      </w:pPr>
      <w:r>
        <w:t>ТАРИФНЫХ ЗОН СУТОК ДЛЯ ЭНЕРГОЗОН (ОЭС) РОССИИ</w:t>
      </w:r>
    </w:p>
    <w:p w:rsidR="00AB1293" w:rsidRDefault="00AB1293">
      <w:pPr>
        <w:pStyle w:val="ConsPlusTitle"/>
        <w:jc w:val="center"/>
      </w:pPr>
      <w:r>
        <w:t>ПО МЕСЯЦАМ 2012 ГОДА</w:t>
      </w: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регулирования цен (тарифов) в электроэнергетике" (Собрание законодательства Российской Федерации, 2012, N 4, ст. 504, N 16, ст. 1883, N 20, ст. 2539, N 23, ст. 3008, N 24, ст. 3185, N 28, ст. 3897) и </w:t>
      </w:r>
      <w:hyperlink r:id="rId6" w:history="1">
        <w:r>
          <w:rPr>
            <w:color w:val="0000FF"/>
          </w:rPr>
          <w:t>Методическими 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06.08.2004 N 20-э/2 (зарегистрирован Минюстом России 20.10.2004, регистрационный N 6076) с изменениями и дополнениями, внесенными приказами ФСТ России от 23.11.2004 N 193-э/11 (зарегистрирован Минюстом России 16.12.2004, регистрационный N 6191), от 14.12.2004 N 289-э/15 (зарегистрирован Минюстом России 21.12.2004, регистрационный N 6213), от 28.11.2006 N 318-э/15 (зарегистрирован Минюстом России 08.12.2006, регистрационный N 8574), от 30.01.2007 N 14-э/14 (зарегистрирован Минюстом России 06.03.2007, регистрационный N 9041), от 31.07.2007 N 138-э/6 (зарегистрирован Минюстом России 20.08.2007, регистрационный N 10030), от 23.11.2007 N 385-э/1 (зарегистрирован Минюстом России 29.11.2007, регистрационный N 10578), от 21.10.2008 N 209-э/1 (зарегистрирован Минюстом России 06.11.2008, регистрационный N 12580), от 22.12.2009 N 469-э/8 (зарегистрирован Минюстом России 29.01.2010, регистрационный N 16132), от 31.12.2009 N 558-э/1 (зарегистрирован Минюстом России 09.02.2010, регистрационный N 16345), от 24.06.2011 N 303-э (зарегистрирован Минюстом России 07.07.2011, регистрационный N 21290), от 26.12.2011 N 823-э (зарегистрирован Минюстом России 28.12.2011, регистрационный N 22794), приказываю:</w:t>
      </w:r>
    </w:p>
    <w:p w:rsidR="00AB1293" w:rsidRDefault="00AB1293">
      <w:pPr>
        <w:pStyle w:val="ConsPlusNormal"/>
        <w:spacing w:before="220"/>
        <w:ind w:firstLine="540"/>
        <w:jc w:val="both"/>
      </w:pPr>
      <w:r>
        <w:t xml:space="preserve">1. Установить интервалы тарифных зон суток для энергозон (ОЭС) России по месяцам 2012 года (время московское), в том числе для населения и приравненных к нему категорий потребителей, в соответствии с </w:t>
      </w:r>
      <w:hyperlink w:anchor="P27" w:history="1">
        <w:r>
          <w:rPr>
            <w:color w:val="0000FF"/>
          </w:rPr>
          <w:t>приложением</w:t>
        </w:r>
      </w:hyperlink>
      <w:r>
        <w:t xml:space="preserve"> к настоящему приказу.</w:t>
      </w:r>
    </w:p>
    <w:p w:rsidR="00AB1293" w:rsidRDefault="00AB1293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jc w:val="right"/>
      </w:pPr>
      <w:r>
        <w:t>Руководитель</w:t>
      </w:r>
    </w:p>
    <w:p w:rsidR="00AB1293" w:rsidRDefault="00AB1293">
      <w:pPr>
        <w:pStyle w:val="ConsPlusNormal"/>
        <w:jc w:val="right"/>
      </w:pPr>
      <w:r>
        <w:t>Федеральной службы по тарифам</w:t>
      </w:r>
    </w:p>
    <w:p w:rsidR="00AB1293" w:rsidRDefault="00AB1293">
      <w:pPr>
        <w:pStyle w:val="ConsPlusNormal"/>
        <w:jc w:val="right"/>
      </w:pPr>
      <w:r>
        <w:t>С.НОВИКОВ</w:t>
      </w: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jc w:val="right"/>
        <w:outlineLvl w:val="0"/>
      </w:pPr>
      <w:r>
        <w:t>Приложение</w:t>
      </w: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jc w:val="center"/>
      </w:pPr>
      <w:bookmarkStart w:id="0" w:name="P27"/>
      <w:bookmarkEnd w:id="0"/>
      <w:r>
        <w:t>ИНТЕРВАЛЫ</w:t>
      </w:r>
    </w:p>
    <w:p w:rsidR="00AB1293" w:rsidRDefault="00AB1293">
      <w:pPr>
        <w:pStyle w:val="ConsPlusNormal"/>
        <w:jc w:val="center"/>
      </w:pPr>
      <w:r>
        <w:t>ТАРИФНЫХ ЗОН СУТОК ДЛЯ ЭНЕРГОЗОН (ОЭС) РОССИИ ПО МЕСЯЦАМ</w:t>
      </w:r>
    </w:p>
    <w:p w:rsidR="00AB1293" w:rsidRDefault="00AB1293">
      <w:pPr>
        <w:pStyle w:val="ConsPlusNormal"/>
        <w:jc w:val="center"/>
      </w:pPr>
      <w:r>
        <w:t>2012 ГОДА (ВРЕМЯ МОСКОВСКОЕ), В ТОМ ЧИСЛЕ ДЛЯ НАСЕЛЕНИЯ</w:t>
      </w:r>
    </w:p>
    <w:p w:rsidR="00AB1293" w:rsidRDefault="00AB1293">
      <w:pPr>
        <w:pStyle w:val="ConsPlusNormal"/>
        <w:jc w:val="center"/>
      </w:pPr>
      <w:r>
        <w:lastRenderedPageBreak/>
        <w:t>И ПРИРАВНЕННЫХ К НЕМУ КАТЕГОРИЙ ПОТРЕБИТЕЛЕЙ</w:t>
      </w:r>
    </w:p>
    <w:p w:rsidR="00AB1293" w:rsidRDefault="00AB129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35"/>
        <w:gridCol w:w="1452"/>
        <w:gridCol w:w="1331"/>
        <w:gridCol w:w="1210"/>
        <w:gridCol w:w="1331"/>
      </w:tblGrid>
      <w:tr w:rsidR="00AB1293">
        <w:trPr>
          <w:trHeight w:val="249"/>
        </w:trPr>
        <w:tc>
          <w:tcPr>
            <w:tcW w:w="4235" w:type="dxa"/>
          </w:tcPr>
          <w:p w:rsidR="00AB1293" w:rsidRDefault="00AB1293">
            <w:pPr>
              <w:pStyle w:val="ConsPlusNonformat"/>
              <w:jc w:val="both"/>
            </w:pPr>
            <w:r>
              <w:t xml:space="preserve">          Наименование           </w:t>
            </w:r>
          </w:p>
        </w:tc>
        <w:tc>
          <w:tcPr>
            <w:tcW w:w="1452" w:type="dxa"/>
          </w:tcPr>
          <w:p w:rsidR="00AB1293" w:rsidRDefault="00AB1293">
            <w:pPr>
              <w:pStyle w:val="ConsPlusNonformat"/>
              <w:jc w:val="both"/>
            </w:pPr>
            <w:r>
              <w:t>Зоны суток</w:t>
            </w:r>
          </w:p>
        </w:tc>
        <w:tc>
          <w:tcPr>
            <w:tcW w:w="1331" w:type="dxa"/>
          </w:tcPr>
          <w:p w:rsidR="00AB1293" w:rsidRDefault="00AB1293">
            <w:pPr>
              <w:pStyle w:val="ConsPlusNonformat"/>
              <w:jc w:val="both"/>
            </w:pPr>
            <w:r>
              <w:t xml:space="preserve"> октябрь </w:t>
            </w:r>
          </w:p>
        </w:tc>
        <w:tc>
          <w:tcPr>
            <w:tcW w:w="1210" w:type="dxa"/>
          </w:tcPr>
          <w:p w:rsidR="00AB1293" w:rsidRDefault="00AB1293">
            <w:pPr>
              <w:pStyle w:val="ConsPlusNonformat"/>
              <w:jc w:val="both"/>
            </w:pPr>
            <w:r>
              <w:t xml:space="preserve"> ноябрь </w:t>
            </w:r>
          </w:p>
        </w:tc>
        <w:tc>
          <w:tcPr>
            <w:tcW w:w="1331" w:type="dxa"/>
          </w:tcPr>
          <w:p w:rsidR="00AB1293" w:rsidRDefault="00AB1293">
            <w:pPr>
              <w:pStyle w:val="ConsPlusNonformat"/>
              <w:jc w:val="both"/>
            </w:pPr>
            <w:r>
              <w:t xml:space="preserve"> декабрь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Центра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9 - 12;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18 - 21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17 - 21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16 - 20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Средней Волги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18 - 20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17 - 19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17 - 19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Урала (за исключением   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Удмуртской Республики и     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Кировской области)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21 - 5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21 - 5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21 - 5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7 - 9;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18 - 19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7 - 9;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16 - 17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7 - 9;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16 - 17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Урала (Удмуртская       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Республика, Кировская область)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9 - 10;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18 - 19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17 - 18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16 - 17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Северо-Запада (за       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исключением Калининградской 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области)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11 - 16;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20 - 22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18 - 20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17 - 20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Калининградская область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0 - 8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0 - 8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0 - 8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21 - 23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19 - 21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20 - 23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Юга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23 - 7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18 - 22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18 - 22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9 - 11;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18 - 22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Сибири (Республика Алтай,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Алтайский край, Кемеровская 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область, Омская область, Томская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область, Новосибирская область)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20 - 4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20 - 4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20 - 4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6 - 8;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16 - 18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6 - 8;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14 - 16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6 - 8;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14 - 16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Сибири (Республика Тыва,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Республика Хакасия, Красноярский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край)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19 - 3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19 - 3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19 - 3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5 - 7;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15 - 18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5 - 7;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13 - 16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5 - 7;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13 - 16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Сибири (Республика Бурятия,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Иркутская область)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18 - 2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18 - 2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18 - 2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4 - 6;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15 - 17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5 - 7;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13 - 15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5 - 6;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13 - 15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Сибири (Забайкальский край)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17 - 1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17 - 1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17 - 1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3 - 5;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14 - 16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2 - 5;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12 - 16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2 - 5;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12 - 15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Востока (Республика Саха 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(Якутия), Амурская область)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17 - 1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17 - 1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17 - 1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2 - 5;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12 - 15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11 - 15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10 - 14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ОЭС Востока (Приморский край,  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Хабаровский край, Еврейская АО)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16 - 0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16 - 0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16 - 0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2 - 5;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12 - 15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11 - 15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10 - 14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Сахалинская область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16 - 0;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 1 - 4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16 - 0;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1 - 3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16 - 0;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 1 - 3 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11 - 14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10 - 14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10 - 14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lastRenderedPageBreak/>
              <w:t xml:space="preserve">Магаданская область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15 - 23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15 - 23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15 - 23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10 - 14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2 - 3;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9 - 14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9 - 13 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Камчатская область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15 - 23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15 - 23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15 - 23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10 - 13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1 - 4;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9 - 12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9 - 12  </w:t>
            </w:r>
          </w:p>
        </w:tc>
      </w:tr>
      <w:tr w:rsidR="00AB1293">
        <w:trPr>
          <w:trHeight w:val="249"/>
        </w:trPr>
        <w:tc>
          <w:tcPr>
            <w:tcW w:w="4235" w:type="dxa"/>
            <w:vMerge w:val="restart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Чукотский АО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 ночная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15 - 23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15 - 23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15 - 23 </w:t>
            </w:r>
          </w:p>
        </w:tc>
      </w:tr>
      <w:tr w:rsidR="00AB1293">
        <w:tc>
          <w:tcPr>
            <w:tcW w:w="4114" w:type="dxa"/>
            <w:vMerge/>
            <w:tcBorders>
              <w:top w:val="nil"/>
            </w:tcBorders>
          </w:tcPr>
          <w:p w:rsidR="00AB1293" w:rsidRDefault="00AB1293"/>
        </w:tc>
        <w:tc>
          <w:tcPr>
            <w:tcW w:w="1452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пиковая 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9 - 14  </w:t>
            </w:r>
          </w:p>
        </w:tc>
        <w:tc>
          <w:tcPr>
            <w:tcW w:w="1210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2 - 4;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8 - 13 </w:t>
            </w:r>
          </w:p>
        </w:tc>
        <w:tc>
          <w:tcPr>
            <w:tcW w:w="1331" w:type="dxa"/>
            <w:tcBorders>
              <w:top w:val="nil"/>
            </w:tcBorders>
          </w:tcPr>
          <w:p w:rsidR="00AB1293" w:rsidRDefault="00AB1293">
            <w:pPr>
              <w:pStyle w:val="ConsPlusNonformat"/>
              <w:jc w:val="both"/>
            </w:pPr>
            <w:r>
              <w:t xml:space="preserve"> 3 - 5;  </w:t>
            </w:r>
          </w:p>
          <w:p w:rsidR="00AB1293" w:rsidRDefault="00AB1293">
            <w:pPr>
              <w:pStyle w:val="ConsPlusNonformat"/>
              <w:jc w:val="both"/>
            </w:pPr>
            <w:r>
              <w:t xml:space="preserve"> 7 - 13  </w:t>
            </w:r>
          </w:p>
        </w:tc>
      </w:tr>
    </w:tbl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  <w:r>
        <w:t>Примечание:</w:t>
      </w:r>
    </w:p>
    <w:p w:rsidR="00AB1293" w:rsidRDefault="00AB1293">
      <w:pPr>
        <w:pStyle w:val="ConsPlusNormal"/>
        <w:spacing w:before="220"/>
        <w:ind w:firstLine="540"/>
        <w:jc w:val="both"/>
      </w:pPr>
      <w:r>
        <w:t>Полупиковая зона - остальное время.</w:t>
      </w:r>
    </w:p>
    <w:p w:rsidR="00AB1293" w:rsidRDefault="00AB1293">
      <w:pPr>
        <w:pStyle w:val="ConsPlusNormal"/>
        <w:spacing w:before="220"/>
        <w:ind w:firstLine="540"/>
        <w:jc w:val="both"/>
      </w:pPr>
      <w:r>
        <w:t>Дневная зона - это время пиковой и полупиковой зон.</w:t>
      </w: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ind w:firstLine="540"/>
        <w:jc w:val="both"/>
      </w:pPr>
    </w:p>
    <w:p w:rsidR="00AB1293" w:rsidRDefault="00AB1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357" w:rsidRDefault="00A75357">
      <w:bookmarkStart w:id="1" w:name="_GoBack"/>
      <w:bookmarkEnd w:id="1"/>
    </w:p>
    <w:sectPr w:rsidR="00A75357" w:rsidSect="004C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3"/>
    <w:rsid w:val="00A75357"/>
    <w:rsid w:val="00A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7C11-A9FC-47AA-BCBB-DCE6284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C62879044ACE738A725DA1ED14243F879502A389FE10D71EEAC494B58FBBFBEBFDA9CEE825B9F6F22CA5C3AB0BFBFADBF867243MFC9H" TargetMode="External"/><Relationship Id="rId5" Type="http://schemas.openxmlformats.org/officeDocument/2006/relationships/hyperlink" Target="consultantplus://offline/ref=C49C62879044ACE738A725DA1ED14243F87850273B9FE10D71EEAC494B58FBBFBEBFDA9FEA8354CF3D6DCB007CE7ACBDA8BF84755FFBD1F6M1C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 Svetlana</dc:creator>
  <cp:keywords/>
  <dc:description/>
  <cp:lastModifiedBy>Chernova Svetlana</cp:lastModifiedBy>
  <cp:revision>1</cp:revision>
  <dcterms:created xsi:type="dcterms:W3CDTF">2020-07-22T07:02:00Z</dcterms:created>
  <dcterms:modified xsi:type="dcterms:W3CDTF">2020-07-22T07:03:00Z</dcterms:modified>
</cp:coreProperties>
</file>