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6" w:rsidRPr="005266DA" w:rsidRDefault="00AE6476" w:rsidP="001621C3">
      <w:pPr>
        <w:spacing w:after="15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5266D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Февраль 2012</w:t>
      </w:r>
      <w:r w:rsidR="005266DA" w:rsidRPr="005266D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 Факт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Фактические средневзвешенные нерегулируемые цены на электроэнергию с учетом мощности в </w:t>
      </w:r>
      <w:r w:rsidR="00D658B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феврале </w:t>
      </w:r>
      <w:r w:rsidR="0085788E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2012 </w:t>
      </w:r>
      <w:r w:rsidRPr="001621C3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г.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для потребителей с интегральным учетом, рассчитывающихся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одноставочному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тарифу, с учетом годового числа часов использования заявленной мощности: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559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- 7001 часов и выше: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1269,75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6501 до 7000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1302,78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6001 до 6500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1329,14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5501 до 6000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1360,13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5001 до 5500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1397,06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от 4501 до 5000 часов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1441,59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- 4500 часов и менее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D658B8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1496,9</w:t>
            </w:r>
            <w:r w:rsidR="0085788E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</w:t>
            </w:r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руб./МВт*</w:t>
            </w:r>
            <w:proofErr w:type="gramStart"/>
            <w:r w:rsidR="001621C3"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</w:tbl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Цена на электрическую энергию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 </w:t>
      </w:r>
      <w:r w:rsidR="00D658B8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972,83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="00D658B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руб./МВт*</w:t>
      </w:r>
      <w:proofErr w:type="gram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ч</w:t>
      </w:r>
      <w:proofErr w:type="gram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. 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 xml:space="preserve">Цена на мощность для расчетов по </w:t>
      </w:r>
      <w:proofErr w:type="spellStart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двухставочному</w:t>
      </w:r>
      <w:proofErr w:type="spellEnd"/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тарифу:  </w:t>
      </w:r>
      <w:r w:rsidR="00D658B8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185 575,67</w:t>
      </w: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руб./МВт. </w:t>
      </w:r>
    </w:p>
    <w:p w:rsidR="001621C3" w:rsidRPr="001621C3" w:rsidRDefault="001621C3" w:rsidP="001621C3">
      <w:pPr>
        <w:spacing w:after="150" w:line="270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1621C3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Средневзвешенная нерегулируемая цена на электроэнергию (мощность) на оптовом рынке для покупателей с интегральным учетом при наличии зонных счетчиков: </w:t>
      </w:r>
    </w:p>
    <w:tbl>
      <w:tblPr>
        <w:tblW w:w="5000" w:type="pct"/>
        <w:tblBorders>
          <w:top w:val="outset" w:sz="6" w:space="0" w:color="D7CCB2"/>
          <w:left w:val="outset" w:sz="6" w:space="0" w:color="D7CCB2"/>
          <w:bottom w:val="outset" w:sz="6" w:space="0" w:color="D7CCB2"/>
          <w:right w:val="outset" w:sz="6" w:space="0" w:color="D7CCB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5"/>
        <w:gridCol w:w="1410"/>
      </w:tblGrid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 по трем зонам суток: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руб./МВт*</w:t>
            </w:r>
            <w:proofErr w:type="gramStart"/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404836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764,75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404836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1371,77</w:t>
            </w:r>
          </w:p>
        </w:tc>
      </w:tr>
      <w:tr w:rsidR="001621C3" w:rsidRPr="001621C3" w:rsidTr="001621C3"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1621C3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1621C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outset" w:sz="6" w:space="0" w:color="D7CCB2"/>
              <w:left w:val="outset" w:sz="6" w:space="0" w:color="D7CCB2"/>
              <w:bottom w:val="outset" w:sz="6" w:space="0" w:color="D7CCB2"/>
              <w:right w:val="outset" w:sz="6" w:space="0" w:color="D7CCB2"/>
            </w:tcBorders>
            <w:tcMar>
              <w:top w:w="75" w:type="dxa"/>
              <w:left w:w="150" w:type="dxa"/>
              <w:bottom w:w="105" w:type="dxa"/>
              <w:right w:w="300" w:type="dxa"/>
            </w:tcMar>
            <w:vAlign w:val="center"/>
            <w:hideMark/>
          </w:tcPr>
          <w:p w:rsidR="001621C3" w:rsidRPr="001621C3" w:rsidRDefault="00404836" w:rsidP="001621C3">
            <w:pPr>
              <w:spacing w:after="300" w:line="27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2518,27</w:t>
            </w:r>
          </w:p>
        </w:tc>
      </w:tr>
    </w:tbl>
    <w:p w:rsidR="00C144BD" w:rsidRDefault="00C144BD"/>
    <w:sectPr w:rsidR="00C144BD" w:rsidSect="00C1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C3"/>
    <w:rsid w:val="0003188D"/>
    <w:rsid w:val="00052921"/>
    <w:rsid w:val="00070FB3"/>
    <w:rsid w:val="00080FD5"/>
    <w:rsid w:val="000949CA"/>
    <w:rsid w:val="000C74AE"/>
    <w:rsid w:val="00106254"/>
    <w:rsid w:val="00112DC9"/>
    <w:rsid w:val="00121A8D"/>
    <w:rsid w:val="001248D7"/>
    <w:rsid w:val="00126B5C"/>
    <w:rsid w:val="00140A4D"/>
    <w:rsid w:val="00143634"/>
    <w:rsid w:val="00151F27"/>
    <w:rsid w:val="001621C3"/>
    <w:rsid w:val="00166034"/>
    <w:rsid w:val="0017090F"/>
    <w:rsid w:val="00171942"/>
    <w:rsid w:val="0017432A"/>
    <w:rsid w:val="00175276"/>
    <w:rsid w:val="00180B94"/>
    <w:rsid w:val="001B02E7"/>
    <w:rsid w:val="001B3DF0"/>
    <w:rsid w:val="001B6DAE"/>
    <w:rsid w:val="001C0318"/>
    <w:rsid w:val="001C12A4"/>
    <w:rsid w:val="001D39B9"/>
    <w:rsid w:val="001D5FAB"/>
    <w:rsid w:val="001E610D"/>
    <w:rsid w:val="001E63AF"/>
    <w:rsid w:val="00203B10"/>
    <w:rsid w:val="00213372"/>
    <w:rsid w:val="00230397"/>
    <w:rsid w:val="00245B0E"/>
    <w:rsid w:val="002533D1"/>
    <w:rsid w:val="00253789"/>
    <w:rsid w:val="00254671"/>
    <w:rsid w:val="002549BA"/>
    <w:rsid w:val="002A2D02"/>
    <w:rsid w:val="003039A7"/>
    <w:rsid w:val="00331770"/>
    <w:rsid w:val="00334614"/>
    <w:rsid w:val="00352C94"/>
    <w:rsid w:val="00370FF8"/>
    <w:rsid w:val="003913C6"/>
    <w:rsid w:val="003934F1"/>
    <w:rsid w:val="003A1361"/>
    <w:rsid w:val="003B63E9"/>
    <w:rsid w:val="003C212D"/>
    <w:rsid w:val="003D2F6B"/>
    <w:rsid w:val="00404836"/>
    <w:rsid w:val="00425F74"/>
    <w:rsid w:val="00432626"/>
    <w:rsid w:val="00450087"/>
    <w:rsid w:val="00451EB6"/>
    <w:rsid w:val="00481674"/>
    <w:rsid w:val="004C0418"/>
    <w:rsid w:val="004D29C9"/>
    <w:rsid w:val="005076F4"/>
    <w:rsid w:val="005266DA"/>
    <w:rsid w:val="005468EA"/>
    <w:rsid w:val="005754DA"/>
    <w:rsid w:val="00581A9C"/>
    <w:rsid w:val="00593334"/>
    <w:rsid w:val="005A099F"/>
    <w:rsid w:val="005B059C"/>
    <w:rsid w:val="005C0952"/>
    <w:rsid w:val="005E3012"/>
    <w:rsid w:val="005F0CF7"/>
    <w:rsid w:val="005F1514"/>
    <w:rsid w:val="00600169"/>
    <w:rsid w:val="0060672B"/>
    <w:rsid w:val="006140B3"/>
    <w:rsid w:val="00635EF1"/>
    <w:rsid w:val="006361F0"/>
    <w:rsid w:val="0064530F"/>
    <w:rsid w:val="00665D87"/>
    <w:rsid w:val="00685C82"/>
    <w:rsid w:val="006C2E12"/>
    <w:rsid w:val="006E609D"/>
    <w:rsid w:val="00745F08"/>
    <w:rsid w:val="00756B55"/>
    <w:rsid w:val="00770C6B"/>
    <w:rsid w:val="00776D61"/>
    <w:rsid w:val="007C5B07"/>
    <w:rsid w:val="007D5FB0"/>
    <w:rsid w:val="00832F11"/>
    <w:rsid w:val="00836337"/>
    <w:rsid w:val="00856C24"/>
    <w:rsid w:val="0085788E"/>
    <w:rsid w:val="008C3C5E"/>
    <w:rsid w:val="008C53B2"/>
    <w:rsid w:val="00900B4E"/>
    <w:rsid w:val="00906216"/>
    <w:rsid w:val="009145CB"/>
    <w:rsid w:val="00915E2E"/>
    <w:rsid w:val="00942544"/>
    <w:rsid w:val="009475C7"/>
    <w:rsid w:val="0095099A"/>
    <w:rsid w:val="00964ACA"/>
    <w:rsid w:val="00981259"/>
    <w:rsid w:val="009A48A1"/>
    <w:rsid w:val="009B29E1"/>
    <w:rsid w:val="009C0CFB"/>
    <w:rsid w:val="009F5CE0"/>
    <w:rsid w:val="00A017FD"/>
    <w:rsid w:val="00A3433C"/>
    <w:rsid w:val="00A707BE"/>
    <w:rsid w:val="00A77518"/>
    <w:rsid w:val="00A8056A"/>
    <w:rsid w:val="00A93B72"/>
    <w:rsid w:val="00A95643"/>
    <w:rsid w:val="00A95B81"/>
    <w:rsid w:val="00AA3220"/>
    <w:rsid w:val="00AE6476"/>
    <w:rsid w:val="00B02337"/>
    <w:rsid w:val="00B13F2D"/>
    <w:rsid w:val="00B32250"/>
    <w:rsid w:val="00BA24A2"/>
    <w:rsid w:val="00BA34B6"/>
    <w:rsid w:val="00BA6D16"/>
    <w:rsid w:val="00BC206D"/>
    <w:rsid w:val="00BC5A49"/>
    <w:rsid w:val="00BD5B47"/>
    <w:rsid w:val="00BD5B58"/>
    <w:rsid w:val="00C07770"/>
    <w:rsid w:val="00C144BD"/>
    <w:rsid w:val="00C33866"/>
    <w:rsid w:val="00C34AC6"/>
    <w:rsid w:val="00C570F9"/>
    <w:rsid w:val="00C80749"/>
    <w:rsid w:val="00CE1DAA"/>
    <w:rsid w:val="00CE5CB8"/>
    <w:rsid w:val="00CF0317"/>
    <w:rsid w:val="00D144CA"/>
    <w:rsid w:val="00D21944"/>
    <w:rsid w:val="00D658B8"/>
    <w:rsid w:val="00DC1EE3"/>
    <w:rsid w:val="00DC7D0F"/>
    <w:rsid w:val="00DE07BB"/>
    <w:rsid w:val="00E0103F"/>
    <w:rsid w:val="00E659A6"/>
    <w:rsid w:val="00E73829"/>
    <w:rsid w:val="00EB2451"/>
    <w:rsid w:val="00EE6B6F"/>
    <w:rsid w:val="00F00456"/>
    <w:rsid w:val="00F01D8F"/>
    <w:rsid w:val="00F72C7E"/>
    <w:rsid w:val="00F76147"/>
    <w:rsid w:val="00F81E34"/>
    <w:rsid w:val="00F86F8B"/>
    <w:rsid w:val="00F954FA"/>
    <w:rsid w:val="00FB7302"/>
    <w:rsid w:val="00F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393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Company>ese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Горбылёва Лариса Вячеславовна</dc:creator>
  <cp:keywords/>
  <dc:description/>
  <cp:lastModifiedBy>Горбылёва Лариса Вячеславовна</cp:lastModifiedBy>
  <cp:revision>7</cp:revision>
  <dcterms:created xsi:type="dcterms:W3CDTF">2012-07-27T08:59:00Z</dcterms:created>
  <dcterms:modified xsi:type="dcterms:W3CDTF">2012-07-27T10:33:00Z</dcterms:modified>
</cp:coreProperties>
</file>